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AD" w:rsidRPr="002722AD" w:rsidRDefault="002722AD">
      <w:pPr>
        <w:rPr>
          <w:b/>
          <w:u w:val="single"/>
        </w:rPr>
      </w:pPr>
      <w:r w:rsidRPr="002722AD">
        <w:rPr>
          <w:b/>
          <w:u w:val="single"/>
        </w:rPr>
        <w:t>Chapter 10</w:t>
      </w:r>
    </w:p>
    <w:p w:rsidR="00941E64" w:rsidRDefault="006542D9" w:rsidP="002722AD">
      <w:pPr>
        <w:pStyle w:val="ListParagraph"/>
        <w:numPr>
          <w:ilvl w:val="0"/>
          <w:numId w:val="1"/>
        </w:numPr>
      </w:pPr>
      <w:r>
        <w:t>Liability of Foreignness</w:t>
      </w:r>
    </w:p>
    <w:p w:rsidR="002722AD" w:rsidRDefault="002722AD" w:rsidP="002722AD">
      <w:pPr>
        <w:pStyle w:val="ListParagraph"/>
        <w:numPr>
          <w:ilvl w:val="0"/>
          <w:numId w:val="1"/>
        </w:numPr>
      </w:pPr>
      <w:r>
        <w:t>Cultural/Institutional Distance</w:t>
      </w:r>
    </w:p>
    <w:p w:rsidR="001E5117" w:rsidRDefault="001E5117" w:rsidP="001E5117">
      <w:pPr>
        <w:pStyle w:val="ListParagraph"/>
        <w:numPr>
          <w:ilvl w:val="0"/>
          <w:numId w:val="1"/>
        </w:numPr>
      </w:pPr>
      <w:r>
        <w:t>Location Specific Advantage</w:t>
      </w:r>
    </w:p>
    <w:p w:rsidR="002722AD" w:rsidRDefault="002722AD" w:rsidP="002722AD">
      <w:pPr>
        <w:pStyle w:val="ListParagraph"/>
        <w:numPr>
          <w:ilvl w:val="0"/>
          <w:numId w:val="1"/>
        </w:numPr>
      </w:pPr>
      <w:r>
        <w:t>First/Second Mover (advantages and differences)</w:t>
      </w:r>
    </w:p>
    <w:p w:rsidR="002722AD" w:rsidRDefault="002722AD" w:rsidP="002722AD">
      <w:pPr>
        <w:pStyle w:val="ListParagraph"/>
        <w:numPr>
          <w:ilvl w:val="0"/>
          <w:numId w:val="1"/>
        </w:numPr>
      </w:pPr>
      <w:r>
        <w:t>Equity vs. Non-equity entry</w:t>
      </w:r>
    </w:p>
    <w:p w:rsidR="00032831" w:rsidRDefault="00032831" w:rsidP="00032831">
      <w:pPr>
        <w:pStyle w:val="ListParagraph"/>
        <w:numPr>
          <w:ilvl w:val="0"/>
          <w:numId w:val="1"/>
        </w:numPr>
      </w:pPr>
      <w:r>
        <w:t>Joint venture</w:t>
      </w:r>
    </w:p>
    <w:p w:rsidR="002722AD" w:rsidRDefault="002722AD" w:rsidP="002722AD">
      <w:pPr>
        <w:pStyle w:val="ListParagraph"/>
        <w:numPr>
          <w:ilvl w:val="0"/>
          <w:numId w:val="1"/>
        </w:numPr>
      </w:pPr>
      <w:r>
        <w:t>Greenfield Operation</w:t>
      </w:r>
    </w:p>
    <w:p w:rsidR="00DC5048" w:rsidRDefault="00DC5048" w:rsidP="002722AD">
      <w:pPr>
        <w:pStyle w:val="ListParagraph"/>
        <w:numPr>
          <w:ilvl w:val="0"/>
          <w:numId w:val="1"/>
        </w:numPr>
      </w:pPr>
      <w:r>
        <w:t>Tacit/Explicit</w:t>
      </w:r>
    </w:p>
    <w:p w:rsidR="002722AD" w:rsidRPr="002722AD" w:rsidRDefault="001E5117" w:rsidP="002722AD">
      <w:pPr>
        <w:rPr>
          <w:b/>
          <w:u w:val="single"/>
        </w:rPr>
      </w:pPr>
      <w:r>
        <w:rPr>
          <w:b/>
          <w:u w:val="single"/>
        </w:rPr>
        <w:t>Chapter 6</w:t>
      </w:r>
    </w:p>
    <w:p w:rsidR="002722AD" w:rsidRDefault="001E5117" w:rsidP="001E5117">
      <w:pPr>
        <w:pStyle w:val="ListParagraph"/>
        <w:numPr>
          <w:ilvl w:val="0"/>
          <w:numId w:val="2"/>
        </w:numPr>
      </w:pPr>
      <w:r>
        <w:t>FPI, FDI and MNE</w:t>
      </w:r>
    </w:p>
    <w:p w:rsidR="001E5117" w:rsidRDefault="001E5117" w:rsidP="001E5117">
      <w:pPr>
        <w:pStyle w:val="ListParagraph"/>
        <w:numPr>
          <w:ilvl w:val="0"/>
          <w:numId w:val="2"/>
        </w:numPr>
      </w:pPr>
      <w:r>
        <w:t>Vertical (upstream &amp; downstream) / Horizontal FDI</w:t>
      </w:r>
    </w:p>
    <w:p w:rsidR="001E5117" w:rsidRDefault="001E5117" w:rsidP="001E5117">
      <w:pPr>
        <w:pStyle w:val="ListParagraph"/>
        <w:numPr>
          <w:ilvl w:val="0"/>
          <w:numId w:val="2"/>
        </w:numPr>
      </w:pPr>
      <w:r>
        <w:t>Agglomeration</w:t>
      </w:r>
    </w:p>
    <w:p w:rsidR="001E5117" w:rsidRPr="001E5117" w:rsidRDefault="001E5117" w:rsidP="001E5117">
      <w:pPr>
        <w:rPr>
          <w:b/>
          <w:u w:val="single"/>
        </w:rPr>
      </w:pPr>
      <w:r w:rsidRPr="001E5117">
        <w:rPr>
          <w:b/>
          <w:u w:val="single"/>
        </w:rPr>
        <w:t>Chapter 7</w:t>
      </w:r>
    </w:p>
    <w:p w:rsidR="001E5117" w:rsidRDefault="001E5117" w:rsidP="001E5117">
      <w:pPr>
        <w:pStyle w:val="ListParagraph"/>
        <w:numPr>
          <w:ilvl w:val="0"/>
          <w:numId w:val="3"/>
        </w:numPr>
      </w:pPr>
      <w:r>
        <w:t>Chinese Currency Manipulation</w:t>
      </w:r>
    </w:p>
    <w:p w:rsidR="001E5117" w:rsidRDefault="001E5117" w:rsidP="001E5117">
      <w:pPr>
        <w:pStyle w:val="ListParagraph"/>
        <w:numPr>
          <w:ilvl w:val="0"/>
          <w:numId w:val="3"/>
        </w:numPr>
      </w:pPr>
      <w:r>
        <w:t>International Monetary Fund</w:t>
      </w:r>
    </w:p>
    <w:p w:rsidR="001E5117" w:rsidRDefault="001E5117" w:rsidP="001E5117">
      <w:pPr>
        <w:pStyle w:val="ListParagraph"/>
        <w:numPr>
          <w:ilvl w:val="0"/>
          <w:numId w:val="3"/>
        </w:numPr>
      </w:pPr>
      <w:r>
        <w:t>Exchange rates</w:t>
      </w:r>
    </w:p>
    <w:p w:rsidR="001E5117" w:rsidRDefault="001E5117" w:rsidP="001E5117">
      <w:pPr>
        <w:pStyle w:val="ListParagraph"/>
        <w:numPr>
          <w:ilvl w:val="0"/>
          <w:numId w:val="3"/>
        </w:numPr>
      </w:pPr>
      <w:r>
        <w:t>Appreciation/Depreciation Currency</w:t>
      </w:r>
    </w:p>
    <w:p w:rsidR="001E5117" w:rsidRDefault="001E5117" w:rsidP="001E5117">
      <w:pPr>
        <w:pStyle w:val="ListParagraph"/>
        <w:numPr>
          <w:ilvl w:val="0"/>
          <w:numId w:val="3"/>
        </w:numPr>
      </w:pPr>
      <w:r>
        <w:t>PPP</w:t>
      </w:r>
    </w:p>
    <w:p w:rsidR="001E5117" w:rsidRDefault="001E5117" w:rsidP="001E5117">
      <w:pPr>
        <w:pStyle w:val="ListParagraph"/>
        <w:numPr>
          <w:ilvl w:val="0"/>
          <w:numId w:val="3"/>
        </w:numPr>
      </w:pPr>
      <w:r>
        <w:t>Big Mac Index</w:t>
      </w:r>
    </w:p>
    <w:p w:rsidR="001E5117" w:rsidRPr="001E5117" w:rsidRDefault="001E5117" w:rsidP="001E5117">
      <w:pPr>
        <w:rPr>
          <w:b/>
          <w:u w:val="single"/>
        </w:rPr>
      </w:pPr>
      <w:r w:rsidRPr="001E5117">
        <w:rPr>
          <w:b/>
          <w:u w:val="single"/>
        </w:rPr>
        <w:t>Chapter 8</w:t>
      </w:r>
    </w:p>
    <w:p w:rsidR="001E5117" w:rsidRDefault="001E5117" w:rsidP="001E5117">
      <w:pPr>
        <w:pStyle w:val="ListParagraph"/>
        <w:numPr>
          <w:ilvl w:val="0"/>
          <w:numId w:val="4"/>
        </w:numPr>
      </w:pPr>
      <w:r>
        <w:t>Global and Regional Economic Integration</w:t>
      </w:r>
    </w:p>
    <w:p w:rsidR="001E5117" w:rsidRDefault="001E5117" w:rsidP="001E5117">
      <w:pPr>
        <w:pStyle w:val="ListParagraph"/>
        <w:numPr>
          <w:ilvl w:val="0"/>
          <w:numId w:val="4"/>
        </w:numPr>
      </w:pPr>
      <w:r>
        <w:t>World Trade Organization</w:t>
      </w:r>
    </w:p>
    <w:p w:rsidR="001E5117" w:rsidRDefault="001E5117" w:rsidP="001E5117">
      <w:pPr>
        <w:pStyle w:val="ListParagraph"/>
        <w:numPr>
          <w:ilvl w:val="0"/>
          <w:numId w:val="4"/>
        </w:numPr>
      </w:pPr>
      <w:r>
        <w:t>EU – issues such as northern and southern differences</w:t>
      </w:r>
    </w:p>
    <w:p w:rsidR="001E5117" w:rsidRDefault="001E5117" w:rsidP="001E5117">
      <w:pPr>
        <w:pStyle w:val="ListParagraph"/>
        <w:numPr>
          <w:ilvl w:val="0"/>
          <w:numId w:val="4"/>
        </w:numPr>
      </w:pPr>
      <w:r>
        <w:t>EU and Eurozone</w:t>
      </w:r>
    </w:p>
    <w:p w:rsidR="001E5117" w:rsidRDefault="001E5117" w:rsidP="001E5117">
      <w:pPr>
        <w:pStyle w:val="ListParagraph"/>
        <w:numPr>
          <w:ilvl w:val="0"/>
          <w:numId w:val="4"/>
        </w:numPr>
      </w:pPr>
      <w:r>
        <w:t>NAFTA</w:t>
      </w:r>
    </w:p>
    <w:p w:rsidR="001E5117" w:rsidRPr="00032831" w:rsidRDefault="001E5117" w:rsidP="001E5117">
      <w:pPr>
        <w:rPr>
          <w:b/>
          <w:u w:val="single"/>
        </w:rPr>
      </w:pPr>
      <w:r w:rsidRPr="00032831">
        <w:rPr>
          <w:b/>
          <w:u w:val="single"/>
        </w:rPr>
        <w:t>Chapter 11</w:t>
      </w:r>
    </w:p>
    <w:p w:rsidR="006542D9" w:rsidRDefault="006542D9" w:rsidP="001E5117">
      <w:pPr>
        <w:pStyle w:val="ListParagraph"/>
        <w:numPr>
          <w:ilvl w:val="0"/>
          <w:numId w:val="5"/>
        </w:numPr>
      </w:pPr>
      <w:r>
        <w:t>Mergers/Acquisitions</w:t>
      </w:r>
    </w:p>
    <w:p w:rsidR="001E5117" w:rsidRDefault="001E5117" w:rsidP="001E5117">
      <w:pPr>
        <w:pStyle w:val="ListParagraph"/>
        <w:numPr>
          <w:ilvl w:val="0"/>
          <w:numId w:val="5"/>
        </w:numPr>
      </w:pPr>
      <w:r>
        <w:t>Strategic Alliance</w:t>
      </w:r>
    </w:p>
    <w:p w:rsidR="001E5117" w:rsidRDefault="001E5117" w:rsidP="001E5117">
      <w:pPr>
        <w:pStyle w:val="ListParagraph"/>
        <w:numPr>
          <w:ilvl w:val="0"/>
          <w:numId w:val="5"/>
        </w:numPr>
      </w:pPr>
      <w:r>
        <w:t>Contractual alliance</w:t>
      </w:r>
    </w:p>
    <w:p w:rsidR="001E5117" w:rsidRDefault="001E5117" w:rsidP="001E5117">
      <w:pPr>
        <w:pStyle w:val="ListParagraph"/>
        <w:numPr>
          <w:ilvl w:val="0"/>
          <w:numId w:val="5"/>
        </w:numPr>
      </w:pPr>
      <w:r>
        <w:t>Antitrust</w:t>
      </w:r>
    </w:p>
    <w:p w:rsidR="001E5117" w:rsidRDefault="001E5117" w:rsidP="001E5117">
      <w:pPr>
        <w:pStyle w:val="ListParagraph"/>
        <w:numPr>
          <w:ilvl w:val="0"/>
          <w:numId w:val="5"/>
        </w:numPr>
      </w:pPr>
      <w:r>
        <w:t>Phases of Alliance Dissolution</w:t>
      </w:r>
    </w:p>
    <w:p w:rsidR="00032831" w:rsidRDefault="00032831" w:rsidP="001E5117">
      <w:pPr>
        <w:pStyle w:val="ListParagraph"/>
        <w:numPr>
          <w:ilvl w:val="0"/>
          <w:numId w:val="5"/>
        </w:numPr>
      </w:pPr>
      <w:r>
        <w:t>Acquisition motive (e.g., hubristic)</w:t>
      </w:r>
    </w:p>
    <w:p w:rsidR="001E5117" w:rsidRPr="00032831" w:rsidRDefault="001E5117" w:rsidP="001E5117">
      <w:pPr>
        <w:rPr>
          <w:b/>
          <w:u w:val="single"/>
        </w:rPr>
      </w:pPr>
      <w:r w:rsidRPr="00032831">
        <w:rPr>
          <w:b/>
          <w:u w:val="single"/>
        </w:rPr>
        <w:t>Chapter12</w:t>
      </w:r>
    </w:p>
    <w:p w:rsidR="00032831" w:rsidRDefault="00032831" w:rsidP="00032831">
      <w:pPr>
        <w:pStyle w:val="ListParagraph"/>
        <w:numPr>
          <w:ilvl w:val="0"/>
          <w:numId w:val="6"/>
        </w:numPr>
      </w:pPr>
      <w:r>
        <w:t>MNE pressures (cost reduction and local responsiveness)</w:t>
      </w:r>
    </w:p>
    <w:p w:rsidR="001E5117" w:rsidRDefault="00032831" w:rsidP="00032831">
      <w:pPr>
        <w:pStyle w:val="ListParagraph"/>
        <w:numPr>
          <w:ilvl w:val="0"/>
          <w:numId w:val="6"/>
        </w:numPr>
      </w:pPr>
      <w:r>
        <w:t>Strategies (e.g., local responsiveness approach)</w:t>
      </w:r>
    </w:p>
    <w:p w:rsidR="006542D9" w:rsidRDefault="006542D9"/>
    <w:p w:rsidR="006542D9" w:rsidRPr="00032831" w:rsidRDefault="00032831">
      <w:pPr>
        <w:rPr>
          <w:b/>
          <w:u w:val="single"/>
        </w:rPr>
      </w:pPr>
      <w:r w:rsidRPr="00032831">
        <w:rPr>
          <w:b/>
          <w:u w:val="single"/>
        </w:rPr>
        <w:t>Chapter 13</w:t>
      </w:r>
    </w:p>
    <w:p w:rsidR="006542D9" w:rsidRDefault="006542D9" w:rsidP="00032831">
      <w:pPr>
        <w:pStyle w:val="ListParagraph"/>
        <w:numPr>
          <w:ilvl w:val="0"/>
          <w:numId w:val="8"/>
        </w:numPr>
      </w:pPr>
      <w:r>
        <w:t>Host Country Nationals (locals) vs. Expatriates</w:t>
      </w:r>
    </w:p>
    <w:p w:rsidR="00DC5048" w:rsidRDefault="00DC5048" w:rsidP="00DC5048">
      <w:pPr>
        <w:pStyle w:val="ListParagraph"/>
        <w:numPr>
          <w:ilvl w:val="0"/>
          <w:numId w:val="8"/>
        </w:numPr>
      </w:pPr>
      <w:r>
        <w:t>Training for Expat position</w:t>
      </w:r>
      <w:bookmarkStart w:id="0" w:name="_GoBack"/>
      <w:bookmarkEnd w:id="0"/>
    </w:p>
    <w:p w:rsidR="00DC5048" w:rsidRDefault="006542D9" w:rsidP="00DC5048">
      <w:pPr>
        <w:pStyle w:val="ListParagraph"/>
        <w:numPr>
          <w:ilvl w:val="0"/>
          <w:numId w:val="8"/>
        </w:numPr>
      </w:pPr>
      <w:r>
        <w:t>Expatriate compensation (Balance Sheet)</w:t>
      </w:r>
    </w:p>
    <w:p w:rsidR="00C568E2" w:rsidRDefault="00C568E2" w:rsidP="00DC5048">
      <w:pPr>
        <w:pStyle w:val="ListParagraph"/>
        <w:numPr>
          <w:ilvl w:val="0"/>
          <w:numId w:val="8"/>
        </w:numPr>
      </w:pPr>
      <w:r>
        <w:t>Repatriation</w:t>
      </w:r>
    </w:p>
    <w:sectPr w:rsidR="00C56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E2" w:rsidRDefault="000D2BE2" w:rsidP="006F6D96">
      <w:pPr>
        <w:spacing w:after="0" w:line="240" w:lineRule="auto"/>
      </w:pPr>
      <w:r>
        <w:separator/>
      </w:r>
    </w:p>
  </w:endnote>
  <w:endnote w:type="continuationSeparator" w:id="0">
    <w:p w:rsidR="000D2BE2" w:rsidRDefault="000D2BE2" w:rsidP="006F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96" w:rsidRDefault="006F6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96" w:rsidRDefault="006F6D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96" w:rsidRDefault="006F6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E2" w:rsidRDefault="000D2BE2" w:rsidP="006F6D96">
      <w:pPr>
        <w:spacing w:after="0" w:line="240" w:lineRule="auto"/>
      </w:pPr>
      <w:r>
        <w:separator/>
      </w:r>
    </w:p>
  </w:footnote>
  <w:footnote w:type="continuationSeparator" w:id="0">
    <w:p w:rsidR="000D2BE2" w:rsidRDefault="000D2BE2" w:rsidP="006F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96" w:rsidRDefault="006F6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96" w:rsidRDefault="006F6D96" w:rsidP="006F6D96">
    <w:pPr>
      <w:pStyle w:val="Header"/>
      <w:jc w:val="center"/>
    </w:pPr>
    <w:r>
      <w:t>Final Exam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96" w:rsidRDefault="006F6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0BE"/>
    <w:multiLevelType w:val="hybridMultilevel"/>
    <w:tmpl w:val="6494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0D19"/>
    <w:multiLevelType w:val="hybridMultilevel"/>
    <w:tmpl w:val="7206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4A7"/>
    <w:multiLevelType w:val="hybridMultilevel"/>
    <w:tmpl w:val="B5D0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D591C"/>
    <w:multiLevelType w:val="hybridMultilevel"/>
    <w:tmpl w:val="AD46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3365"/>
    <w:multiLevelType w:val="hybridMultilevel"/>
    <w:tmpl w:val="E776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01918"/>
    <w:multiLevelType w:val="hybridMultilevel"/>
    <w:tmpl w:val="AFAE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D3F8B"/>
    <w:multiLevelType w:val="hybridMultilevel"/>
    <w:tmpl w:val="EB20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711C2"/>
    <w:multiLevelType w:val="hybridMultilevel"/>
    <w:tmpl w:val="025E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D9"/>
    <w:rsid w:val="00032831"/>
    <w:rsid w:val="000D2BE2"/>
    <w:rsid w:val="001E5117"/>
    <w:rsid w:val="002722AD"/>
    <w:rsid w:val="006542D9"/>
    <w:rsid w:val="006F6D96"/>
    <w:rsid w:val="007859CE"/>
    <w:rsid w:val="00941E64"/>
    <w:rsid w:val="00C568E2"/>
    <w:rsid w:val="00C71E3D"/>
    <w:rsid w:val="00DC5048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94F5"/>
  <w15:chartTrackingRefBased/>
  <w15:docId w15:val="{9FAC7579-EE12-4EED-A428-40241414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96"/>
  </w:style>
  <w:style w:type="paragraph" w:styleId="Footer">
    <w:name w:val="footer"/>
    <w:basedOn w:val="Normal"/>
    <w:link w:val="FooterChar"/>
    <w:uiPriority w:val="99"/>
    <w:unhideWhenUsed/>
    <w:rsid w:val="006F6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96"/>
  </w:style>
  <w:style w:type="paragraph" w:styleId="ListParagraph">
    <w:name w:val="List Paragraph"/>
    <w:basedOn w:val="Normal"/>
    <w:uiPriority w:val="34"/>
    <w:qFormat/>
    <w:rsid w:val="0027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Cummings</dc:creator>
  <cp:keywords/>
  <dc:description/>
  <cp:lastModifiedBy>Jeff Cummings</cp:lastModifiedBy>
  <cp:revision>5</cp:revision>
  <dcterms:created xsi:type="dcterms:W3CDTF">2017-06-20T20:41:00Z</dcterms:created>
  <dcterms:modified xsi:type="dcterms:W3CDTF">2017-06-21T06:29:00Z</dcterms:modified>
</cp:coreProperties>
</file>